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4" w:rsidRDefault="002D6224" w:rsidP="002D6224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bookmarkStart w:id="0" w:name="_GoBack"/>
      <w:bookmarkEnd w:id="0"/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>On 26 March 2008, the Council of Australian Governments signed an Intergovernmental Agreement to provide for a single national registration and accreditation scheme for health professions (</w:t>
      </w:r>
      <w:r w:rsidR="007173FD">
        <w:rPr>
          <w:rFonts w:ascii="Arial" w:hAnsi="Arial" w:cs="Arial"/>
          <w:bCs/>
          <w:noProof/>
          <w:spacing w:val="-3"/>
          <w:sz w:val="22"/>
          <w:szCs w:val="22"/>
        </w:rPr>
        <w:t>the National Scheme</w:t>
      </w:r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>).</w:t>
      </w:r>
    </w:p>
    <w:p w:rsidR="008E7110" w:rsidRDefault="008E7110" w:rsidP="002D6224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r>
        <w:rPr>
          <w:rFonts w:ascii="Arial" w:hAnsi="Arial" w:cs="Arial"/>
          <w:bCs/>
          <w:noProof/>
          <w:spacing w:val="-3"/>
          <w:sz w:val="22"/>
          <w:szCs w:val="22"/>
        </w:rPr>
        <w:t xml:space="preserve">Health professions must meet </w:t>
      </w:r>
      <w:r w:rsidR="001B1F09">
        <w:rPr>
          <w:rFonts w:ascii="Arial" w:hAnsi="Arial" w:cs="Arial"/>
          <w:bCs/>
          <w:noProof/>
          <w:spacing w:val="-3"/>
          <w:sz w:val="22"/>
          <w:szCs w:val="22"/>
        </w:rPr>
        <w:t xml:space="preserve">six </w:t>
      </w:r>
      <w:r w:rsidR="009E7C99">
        <w:rPr>
          <w:rFonts w:ascii="Arial" w:hAnsi="Arial" w:cs="Arial"/>
          <w:bCs/>
          <w:noProof/>
          <w:spacing w:val="-3"/>
          <w:sz w:val="22"/>
          <w:szCs w:val="22"/>
        </w:rPr>
        <w:t>criteria for inclusion in the National Scheme.</w:t>
      </w:r>
    </w:p>
    <w:p w:rsidR="004C7483" w:rsidRPr="004C7483" w:rsidRDefault="009E7C99" w:rsidP="004C7483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r>
        <w:rPr>
          <w:rFonts w:ascii="Arial" w:hAnsi="Arial" w:cs="Arial"/>
          <w:bCs/>
          <w:noProof/>
          <w:spacing w:val="-3"/>
          <w:sz w:val="22"/>
          <w:szCs w:val="22"/>
        </w:rPr>
        <w:t xml:space="preserve">The dental technology and speech pathology professions have twice been </w:t>
      </w:r>
      <w:r w:rsidR="004C7483">
        <w:rPr>
          <w:rFonts w:ascii="Arial" w:hAnsi="Arial" w:cs="Arial"/>
          <w:bCs/>
          <w:noProof/>
          <w:spacing w:val="-3"/>
          <w:sz w:val="22"/>
          <w:szCs w:val="22"/>
        </w:rPr>
        <w:t>denied</w:t>
      </w:r>
      <w:r>
        <w:rPr>
          <w:rFonts w:ascii="Arial" w:hAnsi="Arial" w:cs="Arial"/>
          <w:bCs/>
          <w:noProof/>
          <w:spacing w:val="-3"/>
          <w:sz w:val="22"/>
          <w:szCs w:val="22"/>
        </w:rPr>
        <w:t xml:space="preserve"> inclusion into the National Scheme, as the professions were deemed to not meet all of the criteria for national registraiton.</w:t>
      </w:r>
      <w:r w:rsidR="004C7483">
        <w:rPr>
          <w:rFonts w:ascii="Arial" w:hAnsi="Arial" w:cs="Arial"/>
          <w:bCs/>
          <w:noProof/>
          <w:spacing w:val="-3"/>
          <w:sz w:val="22"/>
          <w:szCs w:val="22"/>
        </w:rPr>
        <w:t xml:space="preserve">  In particular, </w:t>
      </w:r>
      <w:r w:rsidR="004C7483" w:rsidRPr="004C7483">
        <w:rPr>
          <w:rFonts w:ascii="Arial" w:hAnsi="Arial" w:cs="Arial"/>
          <w:bCs/>
          <w:noProof/>
          <w:spacing w:val="-3"/>
          <w:sz w:val="22"/>
          <w:szCs w:val="22"/>
        </w:rPr>
        <w:t>the professions</w:t>
      </w:r>
      <w:r w:rsidR="004C7483">
        <w:rPr>
          <w:rFonts w:ascii="Arial" w:hAnsi="Arial" w:cs="Arial"/>
          <w:bCs/>
          <w:noProof/>
          <w:spacing w:val="-3"/>
          <w:sz w:val="22"/>
          <w:szCs w:val="22"/>
        </w:rPr>
        <w:t xml:space="preserve"> were </w:t>
      </w:r>
      <w:r w:rsidR="000252D8">
        <w:rPr>
          <w:rFonts w:ascii="Arial" w:hAnsi="Arial" w:cs="Arial"/>
          <w:bCs/>
          <w:noProof/>
          <w:spacing w:val="-3"/>
          <w:sz w:val="22"/>
          <w:szCs w:val="22"/>
        </w:rPr>
        <w:t>considered</w:t>
      </w:r>
      <w:r w:rsidR="004C7483">
        <w:rPr>
          <w:rFonts w:ascii="Arial" w:hAnsi="Arial" w:cs="Arial"/>
          <w:bCs/>
          <w:noProof/>
          <w:spacing w:val="-3"/>
          <w:sz w:val="22"/>
          <w:szCs w:val="22"/>
        </w:rPr>
        <w:t xml:space="preserve"> to</w:t>
      </w:r>
      <w:r w:rsidR="004C7483" w:rsidRPr="004C7483">
        <w:rPr>
          <w:rFonts w:ascii="Arial" w:hAnsi="Arial" w:cs="Arial"/>
          <w:bCs/>
          <w:noProof/>
          <w:spacing w:val="-3"/>
          <w:sz w:val="22"/>
          <w:szCs w:val="22"/>
        </w:rPr>
        <w:t xml:space="preserve"> represent either a very low or no risk to the public and the cost of regulation therefore outweighed any possible benefits to the public.</w:t>
      </w:r>
    </w:p>
    <w:p w:rsidR="00BB2F96" w:rsidRPr="00BB2F96" w:rsidRDefault="00BB2F96" w:rsidP="00BB2F96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No other jurisdiction in </w:t>
      </w:r>
      <w:smartTag w:uri="urn:schemas-microsoft-com:office:smarttags" w:element="country-region">
        <w:smartTag w:uri="urn:schemas-microsoft-com:office:smarttags" w:element="place">
          <w:r w:rsidRPr="00BB2F96">
            <w:rPr>
              <w:rFonts w:ascii="Arial" w:hAnsi="Arial" w:cs="Arial"/>
              <w:bCs/>
              <w:noProof/>
              <w:spacing w:val="-3"/>
              <w:sz w:val="22"/>
              <w:szCs w:val="22"/>
            </w:rPr>
            <w:t>Australia</w:t>
          </w:r>
        </w:smartTag>
      </w:smartTag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 registers speech pathologists and dental technicians. Speech pathologists were previously registered for a short period in the </w:t>
      </w:r>
      <w:smartTag w:uri="urn:schemas-microsoft-com:office:smarttags" w:element="State">
        <w:r w:rsidRPr="00BB2F96">
          <w:rPr>
            <w:rFonts w:ascii="Arial" w:hAnsi="Arial" w:cs="Arial"/>
            <w:bCs/>
            <w:noProof/>
            <w:spacing w:val="-3"/>
            <w:sz w:val="22"/>
            <w:szCs w:val="22"/>
          </w:rPr>
          <w:t>Northern Territory</w:t>
        </w:r>
      </w:smartTag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, but otherwise </w:t>
      </w:r>
      <w:smartTag w:uri="urn:schemas-microsoft-com:office:smarttags" w:element="State">
        <w:smartTag w:uri="urn:schemas-microsoft-com:office:smarttags" w:element="place">
          <w:r w:rsidRPr="00BB2F96">
            <w:rPr>
              <w:rFonts w:ascii="Arial" w:hAnsi="Arial" w:cs="Arial"/>
              <w:bCs/>
              <w:noProof/>
              <w:spacing w:val="-3"/>
              <w:sz w:val="22"/>
              <w:szCs w:val="22"/>
            </w:rPr>
            <w:t>Queensland</w:t>
          </w:r>
        </w:smartTag>
      </w:smartTag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 is the only other state to have registered speech pathologists.</w:t>
      </w:r>
      <w:r>
        <w:rPr>
          <w:rFonts w:ascii="Arial" w:hAnsi="Arial" w:cs="Arial"/>
          <w:bCs/>
          <w:noProof/>
          <w:spacing w:val="-3"/>
          <w:sz w:val="22"/>
          <w:szCs w:val="22"/>
        </w:rPr>
        <w:t xml:space="preserve">  </w:t>
      </w:r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Dental technicians have previously been registered in </w:t>
      </w:r>
      <w:smartTag w:uri="urn:schemas-microsoft-com:office:smarttags" w:element="State">
        <w:r w:rsidRPr="00BB2F96">
          <w:rPr>
            <w:rFonts w:ascii="Arial" w:hAnsi="Arial" w:cs="Arial"/>
            <w:bCs/>
            <w:noProof/>
            <w:spacing w:val="-3"/>
            <w:sz w:val="22"/>
            <w:szCs w:val="22"/>
          </w:rPr>
          <w:t>New South Wales</w:t>
        </w:r>
      </w:smartTag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, </w:t>
      </w:r>
      <w:smartTag w:uri="urn:schemas-microsoft-com:office:smarttags" w:element="State">
        <w:r w:rsidRPr="00BB2F96">
          <w:rPr>
            <w:rFonts w:ascii="Arial" w:hAnsi="Arial" w:cs="Arial"/>
            <w:bCs/>
            <w:noProof/>
            <w:spacing w:val="-3"/>
            <w:sz w:val="22"/>
            <w:szCs w:val="22"/>
          </w:rPr>
          <w:t>South Australia</w:t>
        </w:r>
      </w:smartTag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 and the </w:t>
      </w:r>
      <w:smartTag w:uri="urn:schemas-microsoft-com:office:smarttags" w:element="State">
        <w:smartTag w:uri="urn:schemas-microsoft-com:office:smarttags" w:element="place">
          <w:r w:rsidRPr="00BB2F96">
            <w:rPr>
              <w:rFonts w:ascii="Arial" w:hAnsi="Arial" w:cs="Arial"/>
              <w:bCs/>
              <w:noProof/>
              <w:spacing w:val="-3"/>
              <w:sz w:val="22"/>
              <w:szCs w:val="22"/>
            </w:rPr>
            <w:t>Australian Capital Territory</w:t>
          </w:r>
        </w:smartTag>
      </w:smartTag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.  However, these jurisdictions discontinued registration after the </w:t>
      </w:r>
      <w:r w:rsidR="007E0E28">
        <w:rPr>
          <w:rFonts w:ascii="Arial" w:hAnsi="Arial" w:cs="Arial"/>
          <w:bCs/>
          <w:noProof/>
          <w:spacing w:val="-3"/>
          <w:sz w:val="22"/>
          <w:szCs w:val="22"/>
        </w:rPr>
        <w:t xml:space="preserve">Australian Health Workforce </w:t>
      </w:r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Ministerial Council declined to </w:t>
      </w:r>
      <w:r>
        <w:rPr>
          <w:rFonts w:ascii="Arial" w:hAnsi="Arial" w:cs="Arial"/>
          <w:bCs/>
          <w:noProof/>
          <w:spacing w:val="-3"/>
          <w:sz w:val="22"/>
          <w:szCs w:val="22"/>
        </w:rPr>
        <w:t>nationally register</w:t>
      </w:r>
      <w:r w:rsidRPr="00BB2F96">
        <w:rPr>
          <w:rFonts w:ascii="Arial" w:hAnsi="Arial" w:cs="Arial"/>
          <w:bCs/>
          <w:noProof/>
          <w:spacing w:val="-3"/>
          <w:sz w:val="22"/>
          <w:szCs w:val="22"/>
        </w:rPr>
        <w:t xml:space="preserve"> dental technicians.</w:t>
      </w:r>
    </w:p>
    <w:p w:rsidR="00DA689A" w:rsidRPr="00DA689A" w:rsidRDefault="008046DF" w:rsidP="00DA689A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r>
        <w:rPr>
          <w:rFonts w:ascii="Arial" w:hAnsi="Arial" w:cs="Arial"/>
          <w:bCs/>
          <w:noProof/>
          <w:spacing w:val="-3"/>
          <w:sz w:val="22"/>
          <w:szCs w:val="22"/>
        </w:rPr>
        <w:t xml:space="preserve">The </w:t>
      </w:r>
      <w:r w:rsidR="003C6754">
        <w:rPr>
          <w:rFonts w:ascii="Arial" w:hAnsi="Arial" w:cs="Arial"/>
          <w:bCs/>
          <w:noProof/>
          <w:spacing w:val="-3"/>
          <w:sz w:val="22"/>
          <w:szCs w:val="22"/>
        </w:rPr>
        <w:t xml:space="preserve">continued registration of these professions in </w:t>
      </w:r>
      <w:smartTag w:uri="urn:schemas-microsoft-com:office:smarttags" w:element="State">
        <w:r w:rsidR="003C6754">
          <w:rPr>
            <w:rFonts w:ascii="Arial" w:hAnsi="Arial" w:cs="Arial"/>
            <w:bCs/>
            <w:noProof/>
            <w:spacing w:val="-3"/>
            <w:sz w:val="22"/>
            <w:szCs w:val="22"/>
          </w:rPr>
          <w:t>Queensland</w:t>
        </w:r>
      </w:smartTag>
      <w:r w:rsidR="00DA689A" w:rsidRPr="00DA689A">
        <w:rPr>
          <w:rFonts w:ascii="Arial" w:hAnsi="Arial" w:cs="Arial"/>
          <w:bCs/>
          <w:noProof/>
          <w:spacing w:val="-3"/>
          <w:sz w:val="22"/>
          <w:szCs w:val="22"/>
        </w:rPr>
        <w:t xml:space="preserve"> creat</w:t>
      </w:r>
      <w:r w:rsidR="003C6754">
        <w:rPr>
          <w:rFonts w:ascii="Arial" w:hAnsi="Arial" w:cs="Arial"/>
          <w:bCs/>
          <w:noProof/>
          <w:spacing w:val="-3"/>
          <w:sz w:val="22"/>
          <w:szCs w:val="22"/>
        </w:rPr>
        <w:t>es</w:t>
      </w:r>
      <w:r w:rsidR="00DA689A" w:rsidRPr="00DA689A">
        <w:rPr>
          <w:rFonts w:ascii="Arial" w:hAnsi="Arial" w:cs="Arial"/>
          <w:bCs/>
          <w:noProof/>
          <w:spacing w:val="-3"/>
          <w:sz w:val="22"/>
          <w:szCs w:val="22"/>
        </w:rPr>
        <w:t xml:space="preserve"> a barrier to practitioners from other states moving to </w:t>
      </w:r>
      <w:smartTag w:uri="urn:schemas-microsoft-com:office:smarttags" w:element="State">
        <w:smartTag w:uri="urn:schemas-microsoft-com:office:smarttags" w:element="place">
          <w:r w:rsidR="00DA689A" w:rsidRPr="00DA689A">
            <w:rPr>
              <w:rFonts w:ascii="Arial" w:hAnsi="Arial" w:cs="Arial"/>
              <w:bCs/>
              <w:noProof/>
              <w:spacing w:val="-3"/>
              <w:sz w:val="22"/>
              <w:szCs w:val="22"/>
            </w:rPr>
            <w:t>Queensland</w:t>
          </w:r>
        </w:smartTag>
      </w:smartTag>
      <w:r w:rsidR="00DA689A" w:rsidRPr="00DA689A">
        <w:rPr>
          <w:rFonts w:ascii="Arial" w:hAnsi="Arial" w:cs="Arial"/>
          <w:bCs/>
          <w:noProof/>
          <w:spacing w:val="-3"/>
          <w:sz w:val="22"/>
          <w:szCs w:val="22"/>
        </w:rPr>
        <w:t>.</w:t>
      </w:r>
    </w:p>
    <w:p w:rsidR="007173FD" w:rsidRPr="007173FD" w:rsidRDefault="000769DF" w:rsidP="007173FD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r>
        <w:rPr>
          <w:rFonts w:ascii="Arial" w:hAnsi="Arial" w:cs="Arial"/>
          <w:bCs/>
          <w:noProof/>
          <w:spacing w:val="-3"/>
          <w:sz w:val="22"/>
          <w:szCs w:val="22"/>
        </w:rPr>
        <w:t>T</w:t>
      </w:r>
      <w:r w:rsidR="00CE627A">
        <w:rPr>
          <w:rFonts w:ascii="Arial" w:hAnsi="Arial" w:cs="Arial"/>
          <w:bCs/>
          <w:noProof/>
          <w:spacing w:val="-3"/>
          <w:sz w:val="22"/>
          <w:szCs w:val="22"/>
        </w:rPr>
        <w:t xml:space="preserve">he </w:t>
      </w:r>
      <w:r>
        <w:rPr>
          <w:rFonts w:ascii="Arial" w:hAnsi="Arial" w:cs="Arial"/>
          <w:bCs/>
          <w:noProof/>
          <w:spacing w:val="-3"/>
          <w:sz w:val="22"/>
          <w:szCs w:val="22"/>
        </w:rPr>
        <w:t xml:space="preserve">Health Practitioner </w:t>
      </w:r>
      <w:r w:rsidR="00A27A61">
        <w:rPr>
          <w:rFonts w:ascii="Arial" w:hAnsi="Arial" w:cs="Arial"/>
          <w:bCs/>
          <w:noProof/>
          <w:spacing w:val="-3"/>
          <w:sz w:val="22"/>
          <w:szCs w:val="22"/>
        </w:rPr>
        <w:t xml:space="preserve">Registration </w:t>
      </w:r>
      <w:r w:rsidR="007528FB">
        <w:rPr>
          <w:rFonts w:ascii="Arial" w:hAnsi="Arial" w:cs="Arial"/>
          <w:bCs/>
          <w:noProof/>
          <w:spacing w:val="-3"/>
          <w:sz w:val="22"/>
          <w:szCs w:val="22"/>
        </w:rPr>
        <w:t>and Other Legislation</w:t>
      </w:r>
      <w:r>
        <w:rPr>
          <w:rFonts w:ascii="Arial" w:hAnsi="Arial" w:cs="Arial"/>
          <w:bCs/>
          <w:noProof/>
          <w:spacing w:val="-3"/>
          <w:sz w:val="22"/>
          <w:szCs w:val="22"/>
        </w:rPr>
        <w:t xml:space="preserve"> Amendment </w:t>
      </w:r>
      <w:r w:rsidR="00CE627A">
        <w:rPr>
          <w:rFonts w:ascii="Arial" w:hAnsi="Arial" w:cs="Arial"/>
          <w:bCs/>
          <w:noProof/>
          <w:spacing w:val="-3"/>
          <w:sz w:val="22"/>
          <w:szCs w:val="22"/>
        </w:rPr>
        <w:t>Bill</w:t>
      </w:r>
      <w:r>
        <w:rPr>
          <w:rFonts w:ascii="Arial" w:hAnsi="Arial" w:cs="Arial"/>
          <w:bCs/>
          <w:noProof/>
          <w:spacing w:val="-3"/>
          <w:sz w:val="22"/>
          <w:szCs w:val="22"/>
        </w:rPr>
        <w:t xml:space="preserve"> 2012</w:t>
      </w:r>
      <w:r w:rsidR="00CE627A">
        <w:rPr>
          <w:rFonts w:ascii="Arial" w:hAnsi="Arial" w:cs="Arial"/>
          <w:bCs/>
          <w:noProof/>
          <w:spacing w:val="-3"/>
          <w:sz w:val="22"/>
          <w:szCs w:val="22"/>
        </w:rPr>
        <w:t xml:space="preserve"> will:</w:t>
      </w:r>
    </w:p>
    <w:p w:rsidR="002D6224" w:rsidRPr="002D6224" w:rsidRDefault="002D6224" w:rsidP="00E85E45">
      <w:pPr>
        <w:numPr>
          <w:ilvl w:val="0"/>
          <w:numId w:val="16"/>
        </w:numPr>
        <w:spacing w:before="120"/>
        <w:ind w:left="714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 xml:space="preserve">repeal the </w:t>
      </w:r>
      <w:r w:rsidR="00935B62">
        <w:rPr>
          <w:rFonts w:ascii="Arial" w:hAnsi="Arial" w:cs="Arial"/>
          <w:bCs/>
          <w:i/>
          <w:noProof/>
          <w:spacing w:val="-3"/>
          <w:sz w:val="22"/>
          <w:szCs w:val="22"/>
        </w:rPr>
        <w:t xml:space="preserve">Dental Technicians </w:t>
      </w:r>
      <w:r w:rsidR="00935B62" w:rsidRPr="008B3EA8">
        <w:rPr>
          <w:rFonts w:ascii="Arial" w:hAnsi="Arial" w:cs="Arial"/>
          <w:bCs/>
          <w:i/>
          <w:noProof/>
          <w:spacing w:val="-3"/>
          <w:sz w:val="22"/>
          <w:szCs w:val="22"/>
        </w:rPr>
        <w:t>Registration Act 2001</w:t>
      </w:r>
      <w:r w:rsidR="00935B62" w:rsidRPr="00935B62">
        <w:rPr>
          <w:rFonts w:ascii="Arial" w:hAnsi="Arial" w:cs="Arial"/>
          <w:bCs/>
          <w:i/>
          <w:noProof/>
          <w:spacing w:val="-3"/>
          <w:sz w:val="22"/>
          <w:szCs w:val="22"/>
        </w:rPr>
        <w:t xml:space="preserve"> </w:t>
      </w:r>
      <w:r w:rsidR="00CE627A">
        <w:rPr>
          <w:rFonts w:ascii="Arial" w:hAnsi="Arial" w:cs="Arial"/>
          <w:bCs/>
          <w:noProof/>
          <w:spacing w:val="-3"/>
          <w:sz w:val="22"/>
          <w:szCs w:val="22"/>
        </w:rPr>
        <w:t xml:space="preserve">and the </w:t>
      </w:r>
      <w:r w:rsidR="00935B62">
        <w:rPr>
          <w:rFonts w:ascii="Arial" w:hAnsi="Arial" w:cs="Arial"/>
          <w:bCs/>
          <w:i/>
          <w:noProof/>
          <w:spacing w:val="-3"/>
          <w:sz w:val="22"/>
          <w:szCs w:val="22"/>
        </w:rPr>
        <w:t>Speech Pathologists</w:t>
      </w:r>
      <w:r w:rsidR="00935B62" w:rsidRPr="008B3EA8">
        <w:rPr>
          <w:rFonts w:ascii="Arial" w:hAnsi="Arial" w:cs="Arial"/>
          <w:bCs/>
          <w:i/>
          <w:noProof/>
          <w:spacing w:val="-3"/>
          <w:sz w:val="22"/>
          <w:szCs w:val="22"/>
        </w:rPr>
        <w:t xml:space="preserve"> Registration Act 2001</w:t>
      </w:r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>;</w:t>
      </w:r>
    </w:p>
    <w:p w:rsidR="00935B62" w:rsidRPr="002D6224" w:rsidRDefault="00935B62" w:rsidP="00E85E45">
      <w:pPr>
        <w:numPr>
          <w:ilvl w:val="0"/>
          <w:numId w:val="16"/>
        </w:numPr>
        <w:spacing w:before="120"/>
        <w:ind w:left="714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r>
        <w:rPr>
          <w:rFonts w:ascii="Arial" w:hAnsi="Arial" w:cs="Arial"/>
          <w:bCs/>
          <w:noProof/>
          <w:spacing w:val="-3"/>
          <w:sz w:val="22"/>
          <w:szCs w:val="22"/>
        </w:rPr>
        <w:t xml:space="preserve">repeal </w:t>
      </w:r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 xml:space="preserve">the </w:t>
      </w:r>
      <w:r w:rsidRPr="008B3EA8">
        <w:rPr>
          <w:rFonts w:ascii="Arial" w:hAnsi="Arial" w:cs="Arial"/>
          <w:bCs/>
          <w:i/>
          <w:noProof/>
          <w:spacing w:val="-3"/>
          <w:sz w:val="22"/>
          <w:szCs w:val="22"/>
        </w:rPr>
        <w:t>Health Practitioner Registration Boards (Administration) Act 1999</w:t>
      </w:r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>;</w:t>
      </w:r>
    </w:p>
    <w:p w:rsidR="002D6224" w:rsidRPr="002D6224" w:rsidRDefault="002D6224" w:rsidP="00E85E45">
      <w:pPr>
        <w:numPr>
          <w:ilvl w:val="0"/>
          <w:numId w:val="16"/>
        </w:numPr>
        <w:spacing w:before="120"/>
        <w:ind w:left="714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 xml:space="preserve">amend the </w:t>
      </w:r>
      <w:r w:rsidRPr="008B3EA8">
        <w:rPr>
          <w:rFonts w:ascii="Arial" w:hAnsi="Arial" w:cs="Arial"/>
          <w:bCs/>
          <w:i/>
          <w:noProof/>
          <w:spacing w:val="-3"/>
          <w:sz w:val="22"/>
          <w:szCs w:val="22"/>
        </w:rPr>
        <w:t>Health Practitioner (Professional Standards) Act 1999</w:t>
      </w:r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 xml:space="preserve"> to rescind its application to </w:t>
      </w:r>
      <w:r w:rsidR="00935B62" w:rsidRPr="00935B62">
        <w:rPr>
          <w:rFonts w:ascii="Arial" w:hAnsi="Arial" w:cs="Arial"/>
          <w:bCs/>
          <w:noProof/>
          <w:spacing w:val="-3"/>
          <w:sz w:val="22"/>
          <w:szCs w:val="22"/>
        </w:rPr>
        <w:t>speech pathologists</w:t>
      </w:r>
      <w:r w:rsidR="00935B62">
        <w:rPr>
          <w:rFonts w:ascii="Arial" w:hAnsi="Arial" w:cs="Arial"/>
          <w:bCs/>
          <w:noProof/>
          <w:spacing w:val="-3"/>
          <w:sz w:val="22"/>
          <w:szCs w:val="22"/>
        </w:rPr>
        <w:t xml:space="preserve"> and dental technicians; and</w:t>
      </w:r>
    </w:p>
    <w:p w:rsidR="002D6224" w:rsidRPr="002D6224" w:rsidRDefault="002D6224" w:rsidP="00E85E45">
      <w:pPr>
        <w:numPr>
          <w:ilvl w:val="0"/>
          <w:numId w:val="16"/>
        </w:numPr>
        <w:spacing w:before="120"/>
        <w:ind w:left="714"/>
        <w:jc w:val="both"/>
        <w:rPr>
          <w:rFonts w:ascii="Arial" w:hAnsi="Arial" w:cs="Arial"/>
          <w:bCs/>
          <w:noProof/>
          <w:spacing w:val="-3"/>
          <w:sz w:val="22"/>
          <w:szCs w:val="22"/>
        </w:rPr>
      </w:pPr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 xml:space="preserve">consequentially amend various Health and other portfolio Acts which refer to Acts, bodies and matters affected by the </w:t>
      </w:r>
      <w:r w:rsidR="00935B62">
        <w:rPr>
          <w:rFonts w:ascii="Arial" w:hAnsi="Arial" w:cs="Arial"/>
          <w:bCs/>
          <w:noProof/>
          <w:spacing w:val="-3"/>
          <w:sz w:val="22"/>
          <w:szCs w:val="22"/>
        </w:rPr>
        <w:t xml:space="preserve">abolishment of registration for </w:t>
      </w:r>
      <w:r w:rsidR="00935B62" w:rsidRPr="00935B62">
        <w:rPr>
          <w:rFonts w:ascii="Arial" w:hAnsi="Arial" w:cs="Arial"/>
          <w:bCs/>
          <w:noProof/>
          <w:spacing w:val="-3"/>
          <w:sz w:val="22"/>
          <w:szCs w:val="22"/>
        </w:rPr>
        <w:t>dental technicians</w:t>
      </w:r>
      <w:r w:rsidR="00935B62">
        <w:rPr>
          <w:rFonts w:ascii="Arial" w:hAnsi="Arial" w:cs="Arial"/>
          <w:bCs/>
          <w:noProof/>
          <w:spacing w:val="-3"/>
          <w:sz w:val="22"/>
          <w:szCs w:val="22"/>
        </w:rPr>
        <w:t xml:space="preserve"> and </w:t>
      </w:r>
      <w:r w:rsidR="00935B62" w:rsidRPr="00935B62">
        <w:rPr>
          <w:rFonts w:ascii="Arial" w:hAnsi="Arial" w:cs="Arial"/>
          <w:bCs/>
          <w:noProof/>
          <w:spacing w:val="-3"/>
          <w:sz w:val="22"/>
          <w:szCs w:val="22"/>
        </w:rPr>
        <w:t>speech pathologists</w:t>
      </w:r>
      <w:r w:rsidRPr="002D6224">
        <w:rPr>
          <w:rFonts w:ascii="Arial" w:hAnsi="Arial" w:cs="Arial"/>
          <w:bCs/>
          <w:noProof/>
          <w:spacing w:val="-3"/>
          <w:sz w:val="22"/>
          <w:szCs w:val="22"/>
        </w:rPr>
        <w:t>.</w:t>
      </w:r>
    </w:p>
    <w:p w:rsidR="002E287D" w:rsidRPr="00CE6FBA" w:rsidRDefault="003C7F05" w:rsidP="00DE13D4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C7F05">
        <w:rPr>
          <w:rFonts w:ascii="Arial" w:hAnsi="Arial" w:cs="Arial"/>
          <w:sz w:val="22"/>
          <w:szCs w:val="22"/>
          <w:u w:val="single"/>
        </w:rPr>
        <w:t>Cabinet</w:t>
      </w:r>
      <w:r w:rsidR="004627B5">
        <w:rPr>
          <w:rFonts w:ascii="Arial" w:hAnsi="Arial" w:cs="Arial"/>
          <w:sz w:val="22"/>
          <w:szCs w:val="22"/>
          <w:u w:val="single"/>
        </w:rPr>
        <w:t xml:space="preserve"> </w:t>
      </w:r>
      <w:r w:rsidRPr="003C7F05">
        <w:rPr>
          <w:rFonts w:ascii="Arial" w:hAnsi="Arial" w:cs="Arial"/>
          <w:sz w:val="22"/>
          <w:szCs w:val="22"/>
          <w:u w:val="single"/>
        </w:rPr>
        <w:t>approved</w:t>
      </w:r>
      <w:r w:rsidRPr="003C7F05">
        <w:rPr>
          <w:rFonts w:ascii="Arial" w:hAnsi="Arial" w:cs="Arial"/>
          <w:sz w:val="22"/>
          <w:szCs w:val="22"/>
        </w:rPr>
        <w:t xml:space="preserve"> the introduction of the </w:t>
      </w:r>
      <w:r w:rsidR="009C7007" w:rsidRPr="002D6224">
        <w:rPr>
          <w:rFonts w:ascii="Arial" w:hAnsi="Arial" w:cs="Arial"/>
          <w:bCs/>
          <w:noProof/>
          <w:spacing w:val="-3"/>
          <w:sz w:val="22"/>
          <w:szCs w:val="22"/>
        </w:rPr>
        <w:t xml:space="preserve">Health Practitioner </w:t>
      </w:r>
      <w:r w:rsidR="00A27A61" w:rsidRPr="00A27A61">
        <w:rPr>
          <w:rFonts w:ascii="Arial" w:hAnsi="Arial" w:cs="Arial"/>
          <w:bCs/>
          <w:noProof/>
          <w:spacing w:val="-3"/>
          <w:sz w:val="22"/>
          <w:szCs w:val="22"/>
        </w:rPr>
        <w:t xml:space="preserve">Registration </w:t>
      </w:r>
      <w:r w:rsidR="007528FB">
        <w:rPr>
          <w:rFonts w:ascii="Arial" w:hAnsi="Arial" w:cs="Arial"/>
          <w:bCs/>
          <w:noProof/>
          <w:spacing w:val="-3"/>
          <w:sz w:val="22"/>
          <w:szCs w:val="22"/>
        </w:rPr>
        <w:t>and Other Legislation</w:t>
      </w:r>
      <w:r w:rsidR="009C7007" w:rsidRPr="002D6224">
        <w:rPr>
          <w:rFonts w:ascii="Arial" w:hAnsi="Arial" w:cs="Arial"/>
          <w:bCs/>
          <w:noProof/>
          <w:spacing w:val="-3"/>
          <w:sz w:val="22"/>
          <w:szCs w:val="22"/>
        </w:rPr>
        <w:t xml:space="preserve"> Amendment Bill 2012</w:t>
      </w:r>
      <w:r w:rsidR="009C7007">
        <w:rPr>
          <w:rFonts w:ascii="Arial" w:hAnsi="Arial" w:cs="Arial"/>
          <w:sz w:val="22"/>
          <w:szCs w:val="22"/>
        </w:rPr>
        <w:t xml:space="preserve"> </w:t>
      </w:r>
      <w:r w:rsidRPr="003C7F05">
        <w:rPr>
          <w:rFonts w:ascii="Arial" w:hAnsi="Arial" w:cs="Arial"/>
          <w:sz w:val="22"/>
          <w:szCs w:val="22"/>
        </w:rPr>
        <w:t>into the Legislative Assembly</w:t>
      </w:r>
      <w:r w:rsidR="002E287D">
        <w:rPr>
          <w:rFonts w:ascii="Arial" w:hAnsi="Arial" w:cs="Arial"/>
          <w:sz w:val="22"/>
          <w:szCs w:val="22"/>
        </w:rPr>
        <w:t>.</w:t>
      </w:r>
    </w:p>
    <w:p w:rsidR="002E287D" w:rsidRPr="00C07656" w:rsidRDefault="002E287D" w:rsidP="00E85E4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E287D" w:rsidRPr="00C07656" w:rsidRDefault="002E287D" w:rsidP="00DE13D4">
      <w:pPr>
        <w:keepNext/>
        <w:numPr>
          <w:ilvl w:val="0"/>
          <w:numId w:val="7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C7007" w:rsidRDefault="00243F7E" w:rsidP="003C7F05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C7007" w:rsidRPr="00A27A61">
          <w:rPr>
            <w:rStyle w:val="Hyperlink"/>
            <w:rFonts w:ascii="Arial" w:hAnsi="Arial" w:cs="Arial"/>
            <w:bCs/>
            <w:noProof/>
            <w:spacing w:val="-3"/>
            <w:sz w:val="22"/>
            <w:szCs w:val="22"/>
          </w:rPr>
          <w:t xml:space="preserve">Health Practitioner </w:t>
        </w:r>
        <w:r w:rsidR="00A27A61" w:rsidRPr="00A27A61">
          <w:rPr>
            <w:rStyle w:val="Hyperlink"/>
            <w:rFonts w:ascii="Arial" w:hAnsi="Arial" w:cs="Arial"/>
            <w:bCs/>
            <w:noProof/>
            <w:spacing w:val="-3"/>
            <w:sz w:val="22"/>
            <w:szCs w:val="22"/>
          </w:rPr>
          <w:t xml:space="preserve">Registration </w:t>
        </w:r>
        <w:r w:rsidR="007528FB" w:rsidRPr="00A27A61">
          <w:rPr>
            <w:rStyle w:val="Hyperlink"/>
            <w:rFonts w:ascii="Arial" w:hAnsi="Arial" w:cs="Arial"/>
            <w:bCs/>
            <w:noProof/>
            <w:spacing w:val="-3"/>
            <w:sz w:val="22"/>
            <w:szCs w:val="22"/>
          </w:rPr>
          <w:t>and Other Legislation</w:t>
        </w:r>
        <w:r w:rsidR="009C7007" w:rsidRPr="00A27A61">
          <w:rPr>
            <w:rStyle w:val="Hyperlink"/>
            <w:rFonts w:ascii="Arial" w:hAnsi="Arial" w:cs="Arial"/>
            <w:bCs/>
            <w:noProof/>
            <w:spacing w:val="-3"/>
            <w:sz w:val="22"/>
            <w:szCs w:val="22"/>
          </w:rPr>
          <w:t xml:space="preserve"> Amendment Bill 2012</w:t>
        </w:r>
      </w:hyperlink>
    </w:p>
    <w:p w:rsidR="009C7007" w:rsidRPr="00C07656" w:rsidRDefault="00243F7E" w:rsidP="009C7007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A1FA0" w:rsidRPr="00A27A6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9C7007" w:rsidRPr="00C07656" w:rsidSect="00E85E45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1F" w:rsidRDefault="0026441F">
      <w:r>
        <w:separator/>
      </w:r>
    </w:p>
  </w:endnote>
  <w:endnote w:type="continuationSeparator" w:id="0">
    <w:p w:rsidR="0026441F" w:rsidRDefault="0026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E" w:rsidRPr="001141E1" w:rsidRDefault="00B46A4E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1F" w:rsidRDefault="0026441F">
      <w:r>
        <w:separator/>
      </w:r>
    </w:p>
  </w:footnote>
  <w:footnote w:type="continuationSeparator" w:id="0">
    <w:p w:rsidR="0026441F" w:rsidRDefault="0026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77" w:rsidRDefault="00243F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4" type="#_x0000_t136" style="position:absolute;margin-left:0;margin-top:0;width:456.75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45" w:rsidRPr="00E85E45" w:rsidRDefault="00E85E45" w:rsidP="00E85E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E85E45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85E45" w:rsidRPr="00E85E45" w:rsidRDefault="00E85E45" w:rsidP="00E85E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85E45" w:rsidRPr="00E85E45" w:rsidRDefault="00E85E45" w:rsidP="00E85E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E85E45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2012</w:t>
    </w:r>
  </w:p>
  <w:p w:rsidR="00E85E45" w:rsidRPr="00E85E45" w:rsidRDefault="00A27A61" w:rsidP="00E85E45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A27A61">
      <w:rPr>
        <w:rFonts w:ascii="Arial" w:hAnsi="Arial" w:cs="Arial"/>
        <w:b/>
        <w:sz w:val="22"/>
        <w:szCs w:val="22"/>
        <w:u w:val="single"/>
      </w:rPr>
      <w:t>Health Practitioner Registration and Other Legislation Amendment Bill 2012</w:t>
    </w:r>
  </w:p>
  <w:p w:rsidR="00E85E45" w:rsidRDefault="00E85E45" w:rsidP="00E85E45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E85E45">
      <w:rPr>
        <w:rFonts w:ascii="Arial" w:hAnsi="Arial" w:cs="Arial"/>
        <w:b/>
        <w:sz w:val="22"/>
        <w:szCs w:val="22"/>
        <w:u w:val="single"/>
      </w:rPr>
      <w:t xml:space="preserve">Minister for Health </w:t>
    </w:r>
  </w:p>
  <w:p w:rsidR="00E85E45" w:rsidRPr="00E85E45" w:rsidRDefault="00E85E45" w:rsidP="00E85E45">
    <w:pPr>
      <w:pBdr>
        <w:bottom w:val="single" w:sz="4" w:space="1" w:color="auto"/>
      </w:pBdr>
      <w:tabs>
        <w:tab w:val="center" w:pos="4513"/>
        <w:tab w:val="right" w:pos="9026"/>
      </w:tabs>
      <w:rPr>
        <w:rFonts w:ascii="Arial" w:hAnsi="Arial" w:cs="Arial"/>
        <w:b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45" w:rsidRPr="00E85E45" w:rsidRDefault="00E85E45" w:rsidP="00E85E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E85E45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85E45" w:rsidRPr="00E85E45" w:rsidRDefault="00E85E45" w:rsidP="00E85E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85E45" w:rsidRPr="00E85E45" w:rsidRDefault="00E85E45" w:rsidP="00E85E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E85E45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2012</w:t>
    </w:r>
  </w:p>
  <w:p w:rsidR="00E85E45" w:rsidRPr="00E85E45" w:rsidRDefault="00E85E45" w:rsidP="00E85E45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E85E45">
      <w:rPr>
        <w:rFonts w:ascii="Arial" w:hAnsi="Arial" w:cs="Arial"/>
        <w:b/>
        <w:sz w:val="22"/>
        <w:szCs w:val="22"/>
        <w:u w:val="single"/>
      </w:rPr>
      <w:t>Health Practitioner and Other Legislation Amendment Bill 2012</w:t>
    </w:r>
  </w:p>
  <w:p w:rsidR="00A7471B" w:rsidRDefault="00E85E45" w:rsidP="00E85E45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E85E45">
      <w:rPr>
        <w:rFonts w:ascii="Arial" w:hAnsi="Arial" w:cs="Arial"/>
        <w:b/>
        <w:sz w:val="22"/>
        <w:szCs w:val="22"/>
        <w:u w:val="single"/>
      </w:rPr>
      <w:t xml:space="preserve">Minister for Health </w:t>
    </w:r>
  </w:p>
  <w:p w:rsidR="00E85E45" w:rsidRPr="00E85E45" w:rsidRDefault="00E85E45" w:rsidP="00E85E45">
    <w:pPr>
      <w:pBdr>
        <w:bottom w:val="single" w:sz="4" w:space="1" w:color="auto"/>
      </w:pBdr>
      <w:tabs>
        <w:tab w:val="center" w:pos="4513"/>
        <w:tab w:val="right" w:pos="9026"/>
      </w:tabs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2D4A3537"/>
    <w:multiLevelType w:val="hybridMultilevel"/>
    <w:tmpl w:val="5D5E45FE"/>
    <w:lvl w:ilvl="0" w:tplc="97C4A4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97C4A4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3" w:tplc="D54A20C6">
      <w:start w:val="1"/>
      <w:numFmt w:val="none"/>
      <w:lvlText w:val="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  <w:sz w:val="24"/>
        <w:szCs w:val="24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CC3A12"/>
    <w:multiLevelType w:val="hybridMultilevel"/>
    <w:tmpl w:val="E5BC206C"/>
    <w:lvl w:ilvl="0" w:tplc="2EA4AB98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F0439"/>
    <w:multiLevelType w:val="hybridMultilevel"/>
    <w:tmpl w:val="DA66255C"/>
    <w:lvl w:ilvl="0" w:tplc="97C4A4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97C4A4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3" w:tplc="B526E1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47934"/>
    <w:multiLevelType w:val="hybridMultilevel"/>
    <w:tmpl w:val="58C4DAFE"/>
    <w:lvl w:ilvl="0" w:tplc="2A5EBDF2">
      <w:start w:val="1"/>
      <w:numFmt w:val="bullet"/>
      <w:pStyle w:val="DotPointParagraph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  <w:szCs w:val="24"/>
      </w:rPr>
    </w:lvl>
    <w:lvl w:ilvl="1" w:tplc="E85EE3D2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7" w15:restartNumberingAfterBreak="0">
    <w:nsid w:val="63D95806"/>
    <w:multiLevelType w:val="hybridMultilevel"/>
    <w:tmpl w:val="27B6B7DE"/>
    <w:lvl w:ilvl="0" w:tplc="8F203C58">
      <w:start w:val="1"/>
      <w:numFmt w:val="bullet"/>
      <w:lvlText w:val=""/>
      <w:lvlJc w:val="left"/>
      <w:pPr>
        <w:tabs>
          <w:tab w:val="num" w:pos="702"/>
        </w:tabs>
        <w:ind w:left="702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E0328F6"/>
    <w:multiLevelType w:val="hybridMultilevel"/>
    <w:tmpl w:val="3446D8B0"/>
    <w:lvl w:ilvl="0" w:tplc="71F2EC5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BE637C"/>
    <w:multiLevelType w:val="hybridMultilevel"/>
    <w:tmpl w:val="6E48524C"/>
    <w:lvl w:ilvl="0" w:tplc="B0DC9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1166CC"/>
    <w:multiLevelType w:val="hybridMultilevel"/>
    <w:tmpl w:val="4D3C8202"/>
    <w:lvl w:ilvl="0" w:tplc="FEACAD1C">
      <w:start w:val="1"/>
      <w:numFmt w:val="decimal"/>
      <w:pStyle w:val="NumberedParagraph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10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ctiveWritingStyle w:appName="MSWord" w:lang="en-AU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81"/>
    <w:rsid w:val="000018F9"/>
    <w:rsid w:val="000252D8"/>
    <w:rsid w:val="00030FE0"/>
    <w:rsid w:val="00042DDD"/>
    <w:rsid w:val="000442C9"/>
    <w:rsid w:val="000455EC"/>
    <w:rsid w:val="00053410"/>
    <w:rsid w:val="0005433B"/>
    <w:rsid w:val="00054BBC"/>
    <w:rsid w:val="0005520C"/>
    <w:rsid w:val="00060480"/>
    <w:rsid w:val="000769DF"/>
    <w:rsid w:val="000847BE"/>
    <w:rsid w:val="000851A4"/>
    <w:rsid w:val="000924FD"/>
    <w:rsid w:val="000955AA"/>
    <w:rsid w:val="000A21FC"/>
    <w:rsid w:val="000C0D57"/>
    <w:rsid w:val="000C2C12"/>
    <w:rsid w:val="000C3B06"/>
    <w:rsid w:val="000C42D7"/>
    <w:rsid w:val="000E20D0"/>
    <w:rsid w:val="000F2330"/>
    <w:rsid w:val="000F4AE3"/>
    <w:rsid w:val="000F4F77"/>
    <w:rsid w:val="00106844"/>
    <w:rsid w:val="00107C2B"/>
    <w:rsid w:val="00111CAC"/>
    <w:rsid w:val="001210D9"/>
    <w:rsid w:val="00141186"/>
    <w:rsid w:val="00145CD3"/>
    <w:rsid w:val="00152B45"/>
    <w:rsid w:val="001721F0"/>
    <w:rsid w:val="00174179"/>
    <w:rsid w:val="00180EDB"/>
    <w:rsid w:val="00186FC3"/>
    <w:rsid w:val="00187946"/>
    <w:rsid w:val="0019455E"/>
    <w:rsid w:val="001B1F09"/>
    <w:rsid w:val="001C4E62"/>
    <w:rsid w:val="001C5C47"/>
    <w:rsid w:val="001F02E8"/>
    <w:rsid w:val="001F0BBA"/>
    <w:rsid w:val="00203E48"/>
    <w:rsid w:val="00243F7E"/>
    <w:rsid w:val="002445FF"/>
    <w:rsid w:val="00252E60"/>
    <w:rsid w:val="00257B9C"/>
    <w:rsid w:val="0026441F"/>
    <w:rsid w:val="002676EC"/>
    <w:rsid w:val="00272700"/>
    <w:rsid w:val="002779FA"/>
    <w:rsid w:val="002806B7"/>
    <w:rsid w:val="002817E4"/>
    <w:rsid w:val="00284A60"/>
    <w:rsid w:val="00284B2A"/>
    <w:rsid w:val="00291C7D"/>
    <w:rsid w:val="0029502A"/>
    <w:rsid w:val="002A4825"/>
    <w:rsid w:val="002B02FD"/>
    <w:rsid w:val="002D4245"/>
    <w:rsid w:val="002D6224"/>
    <w:rsid w:val="002D709B"/>
    <w:rsid w:val="002E287D"/>
    <w:rsid w:val="002E7176"/>
    <w:rsid w:val="002F2799"/>
    <w:rsid w:val="003002F1"/>
    <w:rsid w:val="003041DA"/>
    <w:rsid w:val="003046FE"/>
    <w:rsid w:val="00304858"/>
    <w:rsid w:val="00310F46"/>
    <w:rsid w:val="00312AA0"/>
    <w:rsid w:val="00313F8F"/>
    <w:rsid w:val="00317CDF"/>
    <w:rsid w:val="00327B0A"/>
    <w:rsid w:val="003306EC"/>
    <w:rsid w:val="00333BE4"/>
    <w:rsid w:val="00344B53"/>
    <w:rsid w:val="00355094"/>
    <w:rsid w:val="00356C4D"/>
    <w:rsid w:val="00360FD6"/>
    <w:rsid w:val="00361B46"/>
    <w:rsid w:val="0038498A"/>
    <w:rsid w:val="00385DDB"/>
    <w:rsid w:val="00392ABB"/>
    <w:rsid w:val="00392F7A"/>
    <w:rsid w:val="003968DB"/>
    <w:rsid w:val="00397054"/>
    <w:rsid w:val="003A558E"/>
    <w:rsid w:val="003C3516"/>
    <w:rsid w:val="003C6754"/>
    <w:rsid w:val="003C7F05"/>
    <w:rsid w:val="003D2C23"/>
    <w:rsid w:val="003D4053"/>
    <w:rsid w:val="003E1152"/>
    <w:rsid w:val="003F2FD1"/>
    <w:rsid w:val="0040121D"/>
    <w:rsid w:val="004048AC"/>
    <w:rsid w:val="004060DA"/>
    <w:rsid w:val="0041607B"/>
    <w:rsid w:val="00424386"/>
    <w:rsid w:val="004265F6"/>
    <w:rsid w:val="00433462"/>
    <w:rsid w:val="00435FBA"/>
    <w:rsid w:val="004367D0"/>
    <w:rsid w:val="00441C67"/>
    <w:rsid w:val="00451A6D"/>
    <w:rsid w:val="0045700A"/>
    <w:rsid w:val="004627B5"/>
    <w:rsid w:val="004631CE"/>
    <w:rsid w:val="004635C1"/>
    <w:rsid w:val="00476911"/>
    <w:rsid w:val="00484D48"/>
    <w:rsid w:val="00485E0A"/>
    <w:rsid w:val="004A24FB"/>
    <w:rsid w:val="004C565F"/>
    <w:rsid w:val="004C5A54"/>
    <w:rsid w:val="004C7483"/>
    <w:rsid w:val="004F676E"/>
    <w:rsid w:val="00515706"/>
    <w:rsid w:val="00522272"/>
    <w:rsid w:val="00527DDA"/>
    <w:rsid w:val="00534F45"/>
    <w:rsid w:val="00540C7B"/>
    <w:rsid w:val="0054170D"/>
    <w:rsid w:val="00547F47"/>
    <w:rsid w:val="00550422"/>
    <w:rsid w:val="005535C5"/>
    <w:rsid w:val="00560F27"/>
    <w:rsid w:val="0056466F"/>
    <w:rsid w:val="00566F66"/>
    <w:rsid w:val="00571DBD"/>
    <w:rsid w:val="00575940"/>
    <w:rsid w:val="00590827"/>
    <w:rsid w:val="00591C4E"/>
    <w:rsid w:val="00595143"/>
    <w:rsid w:val="0059637D"/>
    <w:rsid w:val="005A2C11"/>
    <w:rsid w:val="005A4063"/>
    <w:rsid w:val="005A44C6"/>
    <w:rsid w:val="005A5013"/>
    <w:rsid w:val="005B67A3"/>
    <w:rsid w:val="005C1547"/>
    <w:rsid w:val="005C585C"/>
    <w:rsid w:val="005D400B"/>
    <w:rsid w:val="005E408F"/>
    <w:rsid w:val="005F1ED3"/>
    <w:rsid w:val="00605104"/>
    <w:rsid w:val="006051CB"/>
    <w:rsid w:val="00614D3C"/>
    <w:rsid w:val="00623496"/>
    <w:rsid w:val="00624A97"/>
    <w:rsid w:val="00624B8C"/>
    <w:rsid w:val="00627623"/>
    <w:rsid w:val="00630279"/>
    <w:rsid w:val="00631E60"/>
    <w:rsid w:val="006556EB"/>
    <w:rsid w:val="0065620E"/>
    <w:rsid w:val="00664C0C"/>
    <w:rsid w:val="00667ED5"/>
    <w:rsid w:val="00680BE3"/>
    <w:rsid w:val="006862CE"/>
    <w:rsid w:val="006878EC"/>
    <w:rsid w:val="00695417"/>
    <w:rsid w:val="006A1FA0"/>
    <w:rsid w:val="006B3493"/>
    <w:rsid w:val="006D27D4"/>
    <w:rsid w:val="006D3F7D"/>
    <w:rsid w:val="006E3471"/>
    <w:rsid w:val="006E3CEF"/>
    <w:rsid w:val="006E5A5A"/>
    <w:rsid w:val="006F0676"/>
    <w:rsid w:val="006F2F07"/>
    <w:rsid w:val="006F41FF"/>
    <w:rsid w:val="006F7278"/>
    <w:rsid w:val="00706B3C"/>
    <w:rsid w:val="00711B43"/>
    <w:rsid w:val="00714FF7"/>
    <w:rsid w:val="007173FD"/>
    <w:rsid w:val="00722D58"/>
    <w:rsid w:val="0072665C"/>
    <w:rsid w:val="00727BA7"/>
    <w:rsid w:val="007370E8"/>
    <w:rsid w:val="00747101"/>
    <w:rsid w:val="0074766F"/>
    <w:rsid w:val="007528FB"/>
    <w:rsid w:val="00752CFA"/>
    <w:rsid w:val="00763527"/>
    <w:rsid w:val="007715EB"/>
    <w:rsid w:val="00774813"/>
    <w:rsid w:val="0079626B"/>
    <w:rsid w:val="007A6B61"/>
    <w:rsid w:val="007B3424"/>
    <w:rsid w:val="007B7EC7"/>
    <w:rsid w:val="007C5D57"/>
    <w:rsid w:val="007D584E"/>
    <w:rsid w:val="007E0E28"/>
    <w:rsid w:val="007E18AD"/>
    <w:rsid w:val="007F4BA3"/>
    <w:rsid w:val="008013E6"/>
    <w:rsid w:val="008042DE"/>
    <w:rsid w:val="008046DF"/>
    <w:rsid w:val="008062FC"/>
    <w:rsid w:val="0081015E"/>
    <w:rsid w:val="00817158"/>
    <w:rsid w:val="0081759A"/>
    <w:rsid w:val="00817E5B"/>
    <w:rsid w:val="00820DA3"/>
    <w:rsid w:val="00827922"/>
    <w:rsid w:val="00831182"/>
    <w:rsid w:val="00832E6D"/>
    <w:rsid w:val="00832FB3"/>
    <w:rsid w:val="0083708B"/>
    <w:rsid w:val="008410A9"/>
    <w:rsid w:val="0085166C"/>
    <w:rsid w:val="00856692"/>
    <w:rsid w:val="008668E1"/>
    <w:rsid w:val="008727EB"/>
    <w:rsid w:val="00875FD2"/>
    <w:rsid w:val="0088685D"/>
    <w:rsid w:val="00887450"/>
    <w:rsid w:val="0089190D"/>
    <w:rsid w:val="0089652E"/>
    <w:rsid w:val="008A64D2"/>
    <w:rsid w:val="008A76E6"/>
    <w:rsid w:val="008B3EA8"/>
    <w:rsid w:val="008B4255"/>
    <w:rsid w:val="008B434F"/>
    <w:rsid w:val="008B5186"/>
    <w:rsid w:val="008C33AB"/>
    <w:rsid w:val="008E023A"/>
    <w:rsid w:val="008E368A"/>
    <w:rsid w:val="008E5B9E"/>
    <w:rsid w:val="008E6437"/>
    <w:rsid w:val="008E7110"/>
    <w:rsid w:val="008F0C3B"/>
    <w:rsid w:val="0090158F"/>
    <w:rsid w:val="009076B6"/>
    <w:rsid w:val="009158FC"/>
    <w:rsid w:val="00935B62"/>
    <w:rsid w:val="00952787"/>
    <w:rsid w:val="009558A4"/>
    <w:rsid w:val="009710BC"/>
    <w:rsid w:val="009715B0"/>
    <w:rsid w:val="00975058"/>
    <w:rsid w:val="009801F7"/>
    <w:rsid w:val="00993FD9"/>
    <w:rsid w:val="00994142"/>
    <w:rsid w:val="00997C80"/>
    <w:rsid w:val="009B581E"/>
    <w:rsid w:val="009C1468"/>
    <w:rsid w:val="009C7007"/>
    <w:rsid w:val="009D324F"/>
    <w:rsid w:val="009D764C"/>
    <w:rsid w:val="009E64A4"/>
    <w:rsid w:val="009E6964"/>
    <w:rsid w:val="009E7C99"/>
    <w:rsid w:val="009F5419"/>
    <w:rsid w:val="009F5F2E"/>
    <w:rsid w:val="009F6BA7"/>
    <w:rsid w:val="009F7B79"/>
    <w:rsid w:val="00A11FBB"/>
    <w:rsid w:val="00A1590B"/>
    <w:rsid w:val="00A15E1A"/>
    <w:rsid w:val="00A20651"/>
    <w:rsid w:val="00A250E1"/>
    <w:rsid w:val="00A27A61"/>
    <w:rsid w:val="00A50826"/>
    <w:rsid w:val="00A545A4"/>
    <w:rsid w:val="00A55E4D"/>
    <w:rsid w:val="00A6221E"/>
    <w:rsid w:val="00A70EF1"/>
    <w:rsid w:val="00A743BF"/>
    <w:rsid w:val="00A7471B"/>
    <w:rsid w:val="00A8274F"/>
    <w:rsid w:val="00A82D52"/>
    <w:rsid w:val="00A910BA"/>
    <w:rsid w:val="00A96C88"/>
    <w:rsid w:val="00AC18A4"/>
    <w:rsid w:val="00AC6519"/>
    <w:rsid w:val="00AD050B"/>
    <w:rsid w:val="00AD277A"/>
    <w:rsid w:val="00AD68D7"/>
    <w:rsid w:val="00AD6957"/>
    <w:rsid w:val="00AE3D87"/>
    <w:rsid w:val="00AE45FB"/>
    <w:rsid w:val="00AE6038"/>
    <w:rsid w:val="00AE6F4F"/>
    <w:rsid w:val="00AE7280"/>
    <w:rsid w:val="00AF1DBE"/>
    <w:rsid w:val="00AF1FAB"/>
    <w:rsid w:val="00B01F6A"/>
    <w:rsid w:val="00B1180A"/>
    <w:rsid w:val="00B11BC8"/>
    <w:rsid w:val="00B133B9"/>
    <w:rsid w:val="00B1370E"/>
    <w:rsid w:val="00B20140"/>
    <w:rsid w:val="00B21F0C"/>
    <w:rsid w:val="00B23403"/>
    <w:rsid w:val="00B26013"/>
    <w:rsid w:val="00B3321A"/>
    <w:rsid w:val="00B34EA8"/>
    <w:rsid w:val="00B35BE9"/>
    <w:rsid w:val="00B4653D"/>
    <w:rsid w:val="00B46A4E"/>
    <w:rsid w:val="00B47527"/>
    <w:rsid w:val="00B577C5"/>
    <w:rsid w:val="00B70366"/>
    <w:rsid w:val="00B808DB"/>
    <w:rsid w:val="00BB2F96"/>
    <w:rsid w:val="00BB361F"/>
    <w:rsid w:val="00BB5E42"/>
    <w:rsid w:val="00BC00E8"/>
    <w:rsid w:val="00BC5CA6"/>
    <w:rsid w:val="00BD2E28"/>
    <w:rsid w:val="00BE11CB"/>
    <w:rsid w:val="00BE437D"/>
    <w:rsid w:val="00BE6F32"/>
    <w:rsid w:val="00BF12DF"/>
    <w:rsid w:val="00BF242A"/>
    <w:rsid w:val="00BF6981"/>
    <w:rsid w:val="00BF6FD4"/>
    <w:rsid w:val="00C11D25"/>
    <w:rsid w:val="00C12939"/>
    <w:rsid w:val="00C23458"/>
    <w:rsid w:val="00C23ABB"/>
    <w:rsid w:val="00C244A6"/>
    <w:rsid w:val="00C2657F"/>
    <w:rsid w:val="00C30329"/>
    <w:rsid w:val="00C3126E"/>
    <w:rsid w:val="00C325A1"/>
    <w:rsid w:val="00C566E1"/>
    <w:rsid w:val="00C56904"/>
    <w:rsid w:val="00C66E2C"/>
    <w:rsid w:val="00C73521"/>
    <w:rsid w:val="00C8361E"/>
    <w:rsid w:val="00CA6E1A"/>
    <w:rsid w:val="00CB0DE4"/>
    <w:rsid w:val="00CB3466"/>
    <w:rsid w:val="00CB75A7"/>
    <w:rsid w:val="00CC75AD"/>
    <w:rsid w:val="00CD1600"/>
    <w:rsid w:val="00CE05CC"/>
    <w:rsid w:val="00CE627A"/>
    <w:rsid w:val="00CE7803"/>
    <w:rsid w:val="00CE7993"/>
    <w:rsid w:val="00CF0639"/>
    <w:rsid w:val="00CF2AA8"/>
    <w:rsid w:val="00D052E3"/>
    <w:rsid w:val="00D1193A"/>
    <w:rsid w:val="00D242FE"/>
    <w:rsid w:val="00D31190"/>
    <w:rsid w:val="00D35C3D"/>
    <w:rsid w:val="00D44E94"/>
    <w:rsid w:val="00D45BCE"/>
    <w:rsid w:val="00D4650C"/>
    <w:rsid w:val="00D65E90"/>
    <w:rsid w:val="00D765BB"/>
    <w:rsid w:val="00D77A66"/>
    <w:rsid w:val="00D82079"/>
    <w:rsid w:val="00D83B86"/>
    <w:rsid w:val="00D8516D"/>
    <w:rsid w:val="00DA1C08"/>
    <w:rsid w:val="00DA3859"/>
    <w:rsid w:val="00DA4564"/>
    <w:rsid w:val="00DA66B6"/>
    <w:rsid w:val="00DA689A"/>
    <w:rsid w:val="00DC47ED"/>
    <w:rsid w:val="00DD441A"/>
    <w:rsid w:val="00DE13D4"/>
    <w:rsid w:val="00DE4148"/>
    <w:rsid w:val="00E10C09"/>
    <w:rsid w:val="00E12934"/>
    <w:rsid w:val="00E12EBA"/>
    <w:rsid w:val="00E14F88"/>
    <w:rsid w:val="00E211B0"/>
    <w:rsid w:val="00E27F32"/>
    <w:rsid w:val="00E4797D"/>
    <w:rsid w:val="00E53552"/>
    <w:rsid w:val="00E6758B"/>
    <w:rsid w:val="00E71078"/>
    <w:rsid w:val="00E7299C"/>
    <w:rsid w:val="00E775F7"/>
    <w:rsid w:val="00E85E45"/>
    <w:rsid w:val="00E861CC"/>
    <w:rsid w:val="00E92C06"/>
    <w:rsid w:val="00E96B91"/>
    <w:rsid w:val="00EA6D8A"/>
    <w:rsid w:val="00EA6EE0"/>
    <w:rsid w:val="00EB4CD3"/>
    <w:rsid w:val="00EB540F"/>
    <w:rsid w:val="00EC06FB"/>
    <w:rsid w:val="00EC399D"/>
    <w:rsid w:val="00EC69F6"/>
    <w:rsid w:val="00ED3783"/>
    <w:rsid w:val="00EE5B20"/>
    <w:rsid w:val="00EF4CD1"/>
    <w:rsid w:val="00F013FF"/>
    <w:rsid w:val="00F17536"/>
    <w:rsid w:val="00F21111"/>
    <w:rsid w:val="00F24619"/>
    <w:rsid w:val="00F477B0"/>
    <w:rsid w:val="00F56C98"/>
    <w:rsid w:val="00F64023"/>
    <w:rsid w:val="00F73C80"/>
    <w:rsid w:val="00F87459"/>
    <w:rsid w:val="00F93225"/>
    <w:rsid w:val="00FA6D8A"/>
    <w:rsid w:val="00FB0B24"/>
    <w:rsid w:val="00FB44DA"/>
    <w:rsid w:val="00FC279C"/>
    <w:rsid w:val="00FD03A7"/>
    <w:rsid w:val="00FD4AF0"/>
    <w:rsid w:val="00FD5508"/>
    <w:rsid w:val="00FE473D"/>
    <w:rsid w:val="00FE5652"/>
    <w:rsid w:val="00FE6256"/>
    <w:rsid w:val="00FF38E8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paragraph" w:styleId="Heading6">
    <w:name w:val="heading 6"/>
    <w:basedOn w:val="Normal"/>
    <w:next w:val="Normal"/>
    <w:qFormat/>
    <w:rsid w:val="00993F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NormalCoversheet">
    <w:name w:val="Normal Coversheet"/>
    <w:basedOn w:val="Normal"/>
    <w:autoRedefine/>
    <w:rsid w:val="00ED3783"/>
    <w:pPr>
      <w:spacing w:before="200"/>
      <w:jc w:val="both"/>
    </w:pPr>
  </w:style>
  <w:style w:type="paragraph" w:customStyle="1" w:styleId="NumberedParagraphs">
    <w:name w:val="Numbered Paragraphs"/>
    <w:basedOn w:val="Normal"/>
    <w:autoRedefine/>
    <w:rsid w:val="00030FE0"/>
    <w:pPr>
      <w:numPr>
        <w:numId w:val="11"/>
      </w:numPr>
      <w:spacing w:before="200"/>
      <w:jc w:val="both"/>
    </w:pPr>
    <w:rPr>
      <w:color w:val="auto"/>
    </w:rPr>
  </w:style>
  <w:style w:type="paragraph" w:customStyle="1" w:styleId="DotPointParagraph">
    <w:name w:val="Dot Point Paragraph"/>
    <w:basedOn w:val="Normal"/>
    <w:rsid w:val="0089190D"/>
    <w:pPr>
      <w:numPr>
        <w:numId w:val="12"/>
      </w:numPr>
      <w:spacing w:before="240"/>
      <w:jc w:val="both"/>
    </w:pPr>
    <w:rPr>
      <w:color w:val="auto"/>
    </w:rPr>
  </w:style>
  <w:style w:type="character" w:styleId="CommentReference">
    <w:name w:val="annotation reference"/>
    <w:semiHidden/>
    <w:rsid w:val="00A70EF1"/>
    <w:rPr>
      <w:sz w:val="16"/>
      <w:szCs w:val="16"/>
    </w:rPr>
  </w:style>
  <w:style w:type="paragraph" w:styleId="CommentText">
    <w:name w:val="annotation text"/>
    <w:basedOn w:val="Normal"/>
    <w:semiHidden/>
    <w:rsid w:val="00A70EF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70EF1"/>
    <w:rPr>
      <w:b/>
      <w:bCs/>
    </w:rPr>
  </w:style>
  <w:style w:type="paragraph" w:customStyle="1" w:styleId="PortfolioBullet">
    <w:name w:val="Portfolio_Bullet"/>
    <w:basedOn w:val="Normal"/>
    <w:link w:val="PortfolioBulletChar"/>
    <w:rsid w:val="002D6224"/>
    <w:pPr>
      <w:keepLines/>
      <w:numPr>
        <w:numId w:val="14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2D6224"/>
    <w:pPr>
      <w:keepLines/>
      <w:numPr>
        <w:ilvl w:val="1"/>
        <w:numId w:val="14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2D6224"/>
    <w:pPr>
      <w:keepLines/>
      <w:numPr>
        <w:ilvl w:val="2"/>
        <w:numId w:val="14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character" w:customStyle="1" w:styleId="PortfolioBulletChar">
    <w:name w:val="Portfolio_Bullet Char"/>
    <w:link w:val="PortfolioBullet"/>
    <w:rsid w:val="002D6224"/>
    <w:rPr>
      <w:rFonts w:ascii="Arial" w:hAnsi="Arial"/>
      <w:sz w:val="22"/>
      <w:lang w:val="en-AU" w:eastAsia="en-US" w:bidi="ar-SA"/>
    </w:rPr>
  </w:style>
  <w:style w:type="character" w:customStyle="1" w:styleId="HeaderChar">
    <w:name w:val="Header Char"/>
    <w:link w:val="Header"/>
    <w:locked/>
    <w:rsid w:val="00A7471B"/>
    <w:rPr>
      <w:sz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GeeC\temp\GWViewer\Authority%20to%20Introduce%20Bill%20v4%20Jun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Bill v4 Jun10.dot</Template>
  <TotalTime>0</TotalTime>
  <Pages>1</Pages>
  <Words>313</Words>
  <Characters>1952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</CharactersWithSpaces>
  <SharedDoc>false</SharedDoc>
  <HyperlinkBase>https://www.cabinet.qld.gov.au/documents/2012/Nov/Health Prac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2013-01-24T05:23:00Z</cp:lastPrinted>
  <dcterms:created xsi:type="dcterms:W3CDTF">2017-10-24T23:20:00Z</dcterms:created>
  <dcterms:modified xsi:type="dcterms:W3CDTF">2018-03-06T01:14:00Z</dcterms:modified>
  <cp:category>Health,Legislation</cp:category>
</cp:coreProperties>
</file>